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color w:val="000000"/>
        </w:rPr>
      </w:pPr>
      <w:r>
        <w:rPr>
          <w:rFonts w:ascii="Calibri-Bold" w:hAnsi="Calibri-Bold"/>
          <w:b/>
          <w:color w:val="000000"/>
          <w:sz w:val="48"/>
        </w:rPr>
        <w:t>Felújítási hullám</w:t>
      </w:r>
    </w:p>
    <w:p>
      <w:pPr>
        <w:pStyle w:val="Normal"/>
        <w:jc w:val="left"/>
        <w:rPr>
          <w:rFonts w:ascii="Calibri-Bold" w:hAnsi="Calibri-Bold"/>
          <w:b/>
          <w:b/>
          <w:sz w:val="48"/>
        </w:rPr>
      </w:pPr>
      <w:r>
        <w:rPr>
          <w:color w:val="000000"/>
        </w:rPr>
      </w:r>
    </w:p>
    <w:p>
      <w:pPr>
        <w:pStyle w:val="Normal"/>
        <w:jc w:val="left"/>
        <w:rPr>
          <w:color w:val="000000"/>
          <w:sz w:val="24"/>
          <w:szCs w:val="24"/>
        </w:rPr>
      </w:pPr>
      <w:r>
        <w:rPr>
          <w:rFonts w:ascii="Calibri-Bold" w:hAnsi="Calibri-Bold"/>
          <w:b/>
          <w:color w:val="000000"/>
          <w:sz w:val="24"/>
          <w:szCs w:val="24"/>
        </w:rPr>
        <w:t xml:space="preserve">Eugenio Quintieri </w:t>
      </w:r>
      <w:r>
        <w:rPr>
          <w:rFonts w:ascii="Calibri-Bold" w:hAnsi="Calibri-Bold"/>
          <w:b/>
          <w:color w:val="000000"/>
          <w:sz w:val="24"/>
          <w:szCs w:val="24"/>
        </w:rPr>
        <w:t xml:space="preserve">EBC </w:t>
      </w:r>
      <w:r>
        <w:rPr>
          <w:rFonts w:ascii="Calibri-Bold" w:hAnsi="Calibri-Bold"/>
          <w:b/>
          <w:color w:val="000000"/>
          <w:sz w:val="24"/>
          <w:szCs w:val="24"/>
        </w:rPr>
        <w:t xml:space="preserve">Főtitkár </w:t>
      </w:r>
      <w:r>
        <w:rPr>
          <w:rFonts w:ascii="Calibri-Bold" w:hAnsi="Calibri-Bold"/>
          <w:b/>
          <w:color w:val="000000"/>
          <w:sz w:val="24"/>
          <w:szCs w:val="24"/>
        </w:rPr>
        <w:t xml:space="preserve">előadásának kivonata - </w:t>
      </w:r>
      <w:r>
        <w:rPr>
          <w:rFonts w:ascii="Calibri-BoldItalic" w:hAnsi="Calibri-BoldItalic"/>
          <w:b/>
          <w:i/>
          <w:color w:val="000000"/>
          <w:sz w:val="24"/>
          <w:szCs w:val="24"/>
        </w:rPr>
        <w:t>E-találkozó, 2020.december 18.</w:t>
      </w:r>
    </w:p>
    <w:p>
      <w:pPr>
        <w:pStyle w:val="Normal"/>
        <w:jc w:val="left"/>
        <w:rPr>
          <w:rFonts w:ascii="Calibri-BoldItalic" w:hAnsi="Calibri-BoldItalic"/>
          <w:b/>
          <w:b/>
          <w:i/>
          <w:i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rFonts w:ascii="Calibri-BoldItalic" w:hAnsi="Calibri-BoldItalic"/>
          <w:b/>
          <w:b/>
          <w:i/>
          <w:i/>
        </w:rPr>
      </w:pPr>
      <w:r>
        <w:rPr>
          <w:color w:val="000000"/>
          <w:sz w:val="24"/>
          <w:szCs w:val="24"/>
        </w:rPr>
      </w:r>
    </w:p>
    <w:p>
      <w:pPr>
        <w:pStyle w:val="Normal"/>
        <w:numPr>
          <w:ilvl w:val="0"/>
          <w:numId w:val="13"/>
        </w:numPr>
        <w:rPr>
          <w:rFonts w:ascii="Calibri" w:hAnsi="Calibri"/>
          <w:i w:val="false"/>
          <w:i w:val="false"/>
          <w:iCs w:val="false"/>
          <w:color w:val="000000"/>
          <w:sz w:val="28"/>
          <w:szCs w:val="28"/>
        </w:rPr>
      </w:pPr>
      <w:r>
        <w:rPr>
          <w:rFonts w:ascii="Calibri" w:hAnsi="Calibri"/>
          <w:b/>
          <w:i w:val="false"/>
          <w:iCs w:val="false"/>
          <w:color w:val="000000"/>
          <w:sz w:val="28"/>
          <w:szCs w:val="28"/>
        </w:rPr>
        <w:t>Az EPBD fel</w:t>
      </w:r>
      <w:r>
        <w:rPr>
          <w:rFonts w:ascii="Calibri" w:hAnsi="Calibri"/>
          <w:b/>
          <w:i w:val="false"/>
          <w:iCs w:val="false"/>
          <w:color w:val="000000"/>
          <w:sz w:val="28"/>
          <w:szCs w:val="28"/>
        </w:rPr>
        <w:t>ülvizsgálata és kötelező minimumkövetelmények</w:t>
      </w:r>
    </w:p>
    <w:p>
      <w:pPr>
        <w:pStyle w:val="Normal"/>
        <w:jc w:val="left"/>
        <w:rPr>
          <w:b/>
          <w:b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</w:r>
    </w:p>
    <w:p>
      <w:pPr>
        <w:pStyle w:val="Normal"/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b/>
          <w:i w:val="false"/>
          <w:iCs w:val="false"/>
          <w:color w:val="000000"/>
          <w:sz w:val="24"/>
          <w:szCs w:val="24"/>
        </w:rPr>
        <w:t>A Bizottság javaslata:</w:t>
      </w:r>
    </w:p>
    <w:p>
      <w:pPr>
        <w:pStyle w:val="Normal"/>
        <w:numPr>
          <w:ilvl w:val="0"/>
          <w:numId w:val="12"/>
        </w:numPr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  <w:t>A Bizottság az épületek energiahatékonyságáról szóló irányelv (EPBD) felülvizsgálatának részeként 2021 végéig kötelező energiahatékonysági minimumkövetelményeket fog javasolni.</w:t>
      </w:r>
    </w:p>
    <w:p>
      <w:pPr>
        <w:pStyle w:val="Normal"/>
        <w:rPr>
          <w:b/>
          <w:b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</w:r>
    </w:p>
    <w:p>
      <w:pPr>
        <w:pStyle w:val="Normal"/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b/>
          <w:i w:val="false"/>
          <w:iCs w:val="false"/>
          <w:color w:val="000000"/>
          <w:sz w:val="24"/>
          <w:szCs w:val="24"/>
        </w:rPr>
        <w:t>EBC üzenetek:</w:t>
      </w:r>
    </w:p>
    <w:p>
      <w:pPr>
        <w:pStyle w:val="Normal"/>
        <w:numPr>
          <w:ilvl w:val="0"/>
          <w:numId w:val="11"/>
        </w:numPr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  <w:t>Arányos, kötelező energiahatékonysági minimumkövetelmények biztosítása, amelyeket előre meghatározott hosszú távú menetrenddel fokozatosan vezetnek be, és amelyeket az ingatlantulajdonosok számára elkülönített pénzügyi támogatás és finanszírozás kísér.</w:t>
      </w:r>
    </w:p>
    <w:p>
      <w:pPr>
        <w:pStyle w:val="Normal"/>
        <w:rPr>
          <w:b/>
          <w:b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</w:r>
    </w:p>
    <w:p>
      <w:pPr>
        <w:pStyle w:val="Normal"/>
        <w:rPr>
          <w:b/>
          <w:b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</w:r>
    </w:p>
    <w:p>
      <w:pPr>
        <w:pStyle w:val="Normal"/>
        <w:numPr>
          <w:ilvl w:val="0"/>
          <w:numId w:val="13"/>
        </w:numPr>
        <w:rPr>
          <w:rFonts w:ascii="Calibri" w:hAnsi="Calibri"/>
          <w:b/>
          <w:b/>
          <w:i w:val="false"/>
          <w:i w:val="false"/>
          <w:iCs w:val="false"/>
          <w:color w:val="000000"/>
          <w:sz w:val="28"/>
          <w:szCs w:val="28"/>
        </w:rPr>
      </w:pPr>
      <w:r>
        <w:rPr>
          <w:rFonts w:ascii="Calibri" w:hAnsi="Calibri"/>
          <w:b/>
          <w:i w:val="false"/>
          <w:iCs w:val="false"/>
          <w:color w:val="000000"/>
          <w:sz w:val="28"/>
          <w:szCs w:val="28"/>
        </w:rPr>
        <w:t>Energiateljesítmény-tanúsítványok</w:t>
      </w:r>
    </w:p>
    <w:p>
      <w:pPr>
        <w:pStyle w:val="Normal"/>
        <w:jc w:val="left"/>
        <w:rPr>
          <w:b/>
          <w:b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</w:r>
    </w:p>
    <w:p>
      <w:pPr>
        <w:pStyle w:val="Normal"/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b/>
          <w:i w:val="false"/>
          <w:iCs w:val="false"/>
          <w:color w:val="000000"/>
          <w:sz w:val="24"/>
          <w:szCs w:val="24"/>
        </w:rPr>
        <w:t>A Bizottság javaslata</w:t>
      </w:r>
    </w:p>
    <w:p>
      <w:pPr>
        <w:pStyle w:val="Normal"/>
        <w:numPr>
          <w:ilvl w:val="0"/>
          <w:numId w:val="10"/>
        </w:numPr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  <w:t>A</w:t>
      </w:r>
      <w:r>
        <w:rPr>
          <w:rFonts w:ascii="Calibri" w:hAnsi="Calibri"/>
          <w:i w:val="false"/>
          <w:iCs w:val="false"/>
          <w:color w:val="000000"/>
          <w:sz w:val="24"/>
          <w:szCs w:val="24"/>
        </w:rPr>
        <w:t xml:space="preserve"> Bizottság javaslatot tesz az energiateljesítmény-tanúsítványok keretének naprakésszé tételére, figyelembe véve a kialakulóban lévő energiateljesítmény-mérési technológiákat.</w:t>
      </w:r>
    </w:p>
    <w:p>
      <w:pPr>
        <w:pStyle w:val="Normal"/>
        <w:rPr>
          <w:b/>
          <w:b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</w:r>
    </w:p>
    <w:p>
      <w:pPr>
        <w:pStyle w:val="Normal"/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b/>
          <w:i w:val="false"/>
          <w:iCs w:val="false"/>
          <w:color w:val="000000"/>
          <w:sz w:val="24"/>
          <w:szCs w:val="24"/>
        </w:rPr>
        <w:t>EBC üzenetek</w:t>
      </w:r>
    </w:p>
    <w:p>
      <w:pPr>
        <w:pStyle w:val="Normal"/>
        <w:numPr>
          <w:ilvl w:val="0"/>
          <w:numId w:val="9"/>
        </w:numPr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  <w:t>Az energiateljesítmény-tanúsítványok minőségének javítása és megfizethetőségük biztosítása a kis bérbeadók és a kkv-k számára</w:t>
      </w:r>
    </w:p>
    <w:p>
      <w:pPr>
        <w:pStyle w:val="Normal"/>
        <w:rPr>
          <w:b/>
          <w:b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</w:r>
    </w:p>
    <w:p>
      <w:pPr>
        <w:pStyle w:val="Normal"/>
        <w:rPr>
          <w:b/>
          <w:b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</w:r>
    </w:p>
    <w:p>
      <w:pPr>
        <w:pStyle w:val="Normal"/>
        <w:numPr>
          <w:ilvl w:val="0"/>
          <w:numId w:val="13"/>
        </w:numPr>
        <w:rPr>
          <w:rFonts w:ascii="Calibri" w:hAnsi="Calibri"/>
          <w:b/>
          <w:b/>
          <w:i w:val="false"/>
          <w:i w:val="false"/>
          <w:iCs w:val="false"/>
          <w:color w:val="000000"/>
          <w:sz w:val="28"/>
          <w:szCs w:val="28"/>
        </w:rPr>
      </w:pPr>
      <w:r>
        <w:rPr>
          <w:rFonts w:ascii="Calibri" w:hAnsi="Calibri"/>
          <w:b/>
          <w:i w:val="false"/>
          <w:iCs w:val="false"/>
          <w:color w:val="000000"/>
          <w:sz w:val="28"/>
          <w:szCs w:val="28"/>
        </w:rPr>
        <w:t>A középületekre vonatkozó további felújítási követelmények</w:t>
      </w:r>
    </w:p>
    <w:p>
      <w:pPr>
        <w:pStyle w:val="Normal"/>
        <w:jc w:val="left"/>
        <w:rPr>
          <w:b/>
          <w:b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</w:r>
    </w:p>
    <w:p>
      <w:pPr>
        <w:pStyle w:val="Normal"/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b/>
          <w:i w:val="false"/>
          <w:iCs w:val="false"/>
          <w:color w:val="000000"/>
          <w:sz w:val="24"/>
          <w:szCs w:val="24"/>
        </w:rPr>
        <w:t>A Bizottság javaslata</w:t>
      </w:r>
    </w:p>
    <w:p>
      <w:pPr>
        <w:pStyle w:val="Normal"/>
        <w:numPr>
          <w:ilvl w:val="0"/>
          <w:numId w:val="8"/>
        </w:numPr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  <w:t>A Bizottság meg fogja vizsgálni, hogy szükség van-e a felújítási követelményeknek a középületekre történő kiterjesztésére valamennyi közigazgatási szinten.</w:t>
      </w:r>
    </w:p>
    <w:p>
      <w:pPr>
        <w:pStyle w:val="Normal"/>
        <w:rPr>
          <w:b/>
          <w:b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</w:r>
    </w:p>
    <w:p>
      <w:pPr>
        <w:pStyle w:val="Normal"/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b/>
          <w:i w:val="false"/>
          <w:iCs w:val="false"/>
          <w:color w:val="000000"/>
          <w:sz w:val="24"/>
          <w:szCs w:val="24"/>
        </w:rPr>
        <w:t>EBC üzenetek</w:t>
      </w:r>
    </w:p>
    <w:p>
      <w:pPr>
        <w:pStyle w:val="Normal"/>
        <w:numPr>
          <w:ilvl w:val="0"/>
          <w:numId w:val="7"/>
        </w:numPr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  <w:t>A meglévő 3 %-os felújítási célkitűzést ki kell terjeszteni az összes közigazgatási szint tulajdonában lévő épületekre, azok méretétől függetlenül.</w:t>
      </w:r>
    </w:p>
    <w:p>
      <w:pPr>
        <w:pStyle w:val="Normal"/>
        <w:rPr>
          <w:b/>
          <w:b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</w:r>
    </w:p>
    <w:p>
      <w:pPr>
        <w:pStyle w:val="Normal"/>
        <w:rPr>
          <w:b/>
          <w:b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</w:r>
    </w:p>
    <w:p>
      <w:pPr>
        <w:pStyle w:val="Normal"/>
        <w:numPr>
          <w:ilvl w:val="0"/>
          <w:numId w:val="13"/>
        </w:numPr>
        <w:rPr>
          <w:rFonts w:ascii="Calibri" w:hAnsi="Calibri"/>
          <w:b/>
          <w:b/>
          <w:i w:val="false"/>
          <w:i w:val="false"/>
          <w:iCs w:val="false"/>
          <w:color w:val="000000"/>
          <w:sz w:val="28"/>
          <w:szCs w:val="28"/>
        </w:rPr>
      </w:pPr>
      <w:r>
        <w:rPr>
          <w:rFonts w:ascii="Calibri" w:hAnsi="Calibri"/>
          <w:b/>
          <w:i w:val="false"/>
          <w:iCs w:val="false"/>
          <w:color w:val="000000"/>
          <w:sz w:val="28"/>
          <w:szCs w:val="28"/>
        </w:rPr>
        <w:t>Körforgásos gazdaság: építési hulladékra vonatkozó célkitűzések</w:t>
      </w:r>
    </w:p>
    <w:p>
      <w:pPr>
        <w:pStyle w:val="Normal"/>
        <w:jc w:val="left"/>
        <w:rPr>
          <w:b/>
          <w:b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</w:r>
    </w:p>
    <w:p>
      <w:pPr>
        <w:pStyle w:val="Normal"/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b/>
          <w:i w:val="false"/>
          <w:iCs w:val="false"/>
          <w:color w:val="000000"/>
          <w:sz w:val="24"/>
          <w:szCs w:val="24"/>
        </w:rPr>
        <w:t>A Bizottság javaslata</w:t>
      </w:r>
    </w:p>
    <w:p>
      <w:pPr>
        <w:pStyle w:val="Normal"/>
        <w:numPr>
          <w:ilvl w:val="0"/>
          <w:numId w:val="6"/>
        </w:numPr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  <w:t>A Bizottság 2024 végéig felülvizsgálja az építési és bontási hulladékra vonatkozó uniós jogszabályokban meghatározott anyag-hasznosítási célokat.</w:t>
      </w:r>
    </w:p>
    <w:p>
      <w:pPr>
        <w:pStyle w:val="Normal"/>
        <w:rPr>
          <w:b/>
          <w:b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</w:r>
    </w:p>
    <w:p>
      <w:pPr>
        <w:pStyle w:val="Normal"/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b/>
          <w:i w:val="false"/>
          <w:iCs w:val="false"/>
          <w:color w:val="000000"/>
          <w:sz w:val="24"/>
          <w:szCs w:val="24"/>
        </w:rPr>
        <w:t>EBC üzenetek</w:t>
      </w:r>
    </w:p>
    <w:p>
      <w:pPr>
        <w:pStyle w:val="Normal"/>
        <w:numPr>
          <w:ilvl w:val="0"/>
          <w:numId w:val="5"/>
        </w:numPr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  <w:t>Az építési és bontási hulladékra vonatkozó anyag-visszanyerési célok további megerősítése előtt gondoskodni kell arról, hogy megfelelő számú újrahasznosító és gyűjtőközpont, illetve építőipari vállalkozásokhoz vagy üzemi létesítményekhez közeli csoportosító/tároló platformok álljanak rendelkezésre.</w:t>
      </w:r>
    </w:p>
    <w:p>
      <w:pPr>
        <w:pStyle w:val="Normal"/>
        <w:rPr>
          <w:b/>
          <w:b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</w:r>
    </w:p>
    <w:p>
      <w:pPr>
        <w:pStyle w:val="Normal"/>
        <w:rPr>
          <w:b/>
          <w:b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</w:r>
    </w:p>
    <w:p>
      <w:pPr>
        <w:pStyle w:val="Normal"/>
        <w:numPr>
          <w:ilvl w:val="0"/>
          <w:numId w:val="13"/>
        </w:numPr>
        <w:rPr>
          <w:rFonts w:ascii="Calibri" w:hAnsi="Calibri"/>
          <w:b/>
          <w:b/>
          <w:i w:val="false"/>
          <w:i w:val="false"/>
          <w:iCs w:val="false"/>
          <w:color w:val="000000"/>
          <w:sz w:val="28"/>
          <w:szCs w:val="28"/>
        </w:rPr>
      </w:pPr>
      <w:r>
        <w:rPr>
          <w:rFonts w:ascii="Calibri" w:hAnsi="Calibri"/>
          <w:b/>
          <w:i w:val="false"/>
          <w:iCs w:val="false"/>
          <w:color w:val="000000"/>
          <w:sz w:val="28"/>
          <w:szCs w:val="28"/>
        </w:rPr>
        <w:t>Körforgásos gazdaság: az újrahasznosítási piac fellendítése</w:t>
      </w:r>
    </w:p>
    <w:p>
      <w:pPr>
        <w:pStyle w:val="Normal"/>
        <w:jc w:val="left"/>
        <w:rPr>
          <w:b/>
          <w:b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</w:r>
    </w:p>
    <w:p>
      <w:pPr>
        <w:pStyle w:val="Normal"/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b/>
          <w:i w:val="false"/>
          <w:iCs w:val="false"/>
          <w:color w:val="000000"/>
          <w:sz w:val="24"/>
          <w:szCs w:val="24"/>
        </w:rPr>
        <w:t>A Bizottság javaslata</w:t>
      </w:r>
    </w:p>
    <w:p>
      <w:pPr>
        <w:pStyle w:val="Normal"/>
        <w:numPr>
          <w:ilvl w:val="0"/>
          <w:numId w:val="4"/>
        </w:numPr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  <w:t>A Bizottság intézkedéseket fog hozni az újrahasználati és újrafeldolgozási platformok növelésére, valamint a másodlagos nyersanyagok jól működő belső piacának támogatására.</w:t>
      </w:r>
    </w:p>
    <w:p>
      <w:pPr>
        <w:pStyle w:val="Normal"/>
        <w:rPr>
          <w:b/>
          <w:b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</w:r>
    </w:p>
    <w:p>
      <w:pPr>
        <w:pStyle w:val="Normal"/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b/>
          <w:i w:val="false"/>
          <w:iCs w:val="false"/>
          <w:color w:val="000000"/>
          <w:sz w:val="24"/>
          <w:szCs w:val="24"/>
        </w:rPr>
        <w:t>EBC üzenetek</w:t>
      </w:r>
    </w:p>
    <w:p>
      <w:pPr>
        <w:pStyle w:val="Normal"/>
        <w:numPr>
          <w:ilvl w:val="0"/>
          <w:numId w:val="3"/>
        </w:numPr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  <w:t>Pénzügyi támogatás nyújtása támogatások vagy adójóváírások keretében az újrahasznosított anyagok, valamint az újrafelhasznált és fenntartható termékek beszerzésének és felhasználásának támogatására.</w:t>
      </w:r>
    </w:p>
    <w:p>
      <w:pPr>
        <w:pStyle w:val="Normal"/>
        <w:rPr>
          <w:b/>
          <w:b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</w:r>
    </w:p>
    <w:p>
      <w:pPr>
        <w:pStyle w:val="Normal"/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b/>
          <w:i w:val="false"/>
          <w:iCs w:val="false"/>
          <w:color w:val="000000"/>
          <w:sz w:val="24"/>
          <w:szCs w:val="24"/>
        </w:rPr>
        <w:t>A Bizottság javaslata</w:t>
      </w:r>
    </w:p>
    <w:p>
      <w:pPr>
        <w:pStyle w:val="Normal"/>
        <w:numPr>
          <w:ilvl w:val="0"/>
          <w:numId w:val="2"/>
        </w:numPr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  <w:t>A Bizottság intézkedéseket fog hozni az újrahasználati és újrafeldolgozási platformok növelésére, valamint a másodlagos nyersanyagok jól működő belső piacának támogatására.</w:t>
      </w:r>
    </w:p>
    <w:p>
      <w:pPr>
        <w:pStyle w:val="Normal"/>
        <w:rPr>
          <w:b/>
          <w:b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</w:r>
    </w:p>
    <w:p>
      <w:pPr>
        <w:pStyle w:val="Normal"/>
        <w:rPr>
          <w:b/>
          <w:b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</w:r>
    </w:p>
    <w:p>
      <w:pPr>
        <w:pStyle w:val="Normal"/>
        <w:numPr>
          <w:ilvl w:val="0"/>
          <w:numId w:val="13"/>
        </w:numPr>
        <w:rPr>
          <w:rFonts w:ascii="Calibri" w:hAnsi="Calibri"/>
          <w:b/>
          <w:b/>
          <w:i w:val="false"/>
          <w:i w:val="false"/>
          <w:iCs w:val="false"/>
          <w:color w:val="000000"/>
          <w:sz w:val="28"/>
          <w:szCs w:val="28"/>
        </w:rPr>
      </w:pPr>
      <w:r>
        <w:rPr>
          <w:rFonts w:ascii="Calibri" w:hAnsi="Calibri"/>
          <w:b/>
          <w:i w:val="false"/>
          <w:iCs w:val="false"/>
          <w:color w:val="000000"/>
          <w:sz w:val="28"/>
          <w:szCs w:val="28"/>
        </w:rPr>
        <w:t>Egyéb intézkedések (különálló álláspontok)</w:t>
      </w:r>
    </w:p>
    <w:p>
      <w:pPr>
        <w:pStyle w:val="Normal"/>
        <w:jc w:val="left"/>
        <w:rPr>
          <w:b/>
          <w:b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</w:r>
    </w:p>
    <w:p>
      <w:pPr>
        <w:pStyle w:val="Normal"/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b/>
          <w:i w:val="false"/>
          <w:iCs w:val="false"/>
          <w:color w:val="000000"/>
          <w:sz w:val="24"/>
          <w:szCs w:val="24"/>
        </w:rPr>
        <w:t>A Bizottság javaslatai</w:t>
      </w:r>
    </w:p>
    <w:p>
      <w:pPr>
        <w:pStyle w:val="Normal"/>
        <w:numPr>
          <w:ilvl w:val="0"/>
          <w:numId w:val="1"/>
        </w:numPr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  <w:t>Digitális épületnaplók és épületfelújítási útlevelek bevezetése</w:t>
      </w:r>
    </w:p>
    <w:p>
      <w:pPr>
        <w:pStyle w:val="Normal"/>
        <w:numPr>
          <w:ilvl w:val="0"/>
          <w:numId w:val="1"/>
        </w:numPr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  <w:t>Kapacitás növelése és technikai segítségnyújtás (egyablakos ügyintézés)</w:t>
      </w:r>
    </w:p>
    <w:p>
      <w:pPr>
        <w:pStyle w:val="Normal"/>
        <w:numPr>
          <w:ilvl w:val="0"/>
          <w:numId w:val="1"/>
        </w:numPr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  <w:t>Az építőipari ágazat készség paktuma</w:t>
      </w:r>
    </w:p>
    <w:p>
      <w:pPr>
        <w:pStyle w:val="Normal"/>
        <w:numPr>
          <w:ilvl w:val="0"/>
          <w:numId w:val="1"/>
        </w:numPr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  <w:t>Az építési termékekről szóló rendelet felülvizsgálata (fenntarthatóság)</w:t>
      </w:r>
    </w:p>
    <w:p>
      <w:pPr>
        <w:pStyle w:val="Normal"/>
        <w:numPr>
          <w:ilvl w:val="0"/>
          <w:numId w:val="1"/>
        </w:numPr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  <w:t>Iránymutatás a tagállamoknak a gazdaságélénkítési és ellenálló képességi tervek elkészítéséről</w:t>
      </w:r>
    </w:p>
    <w:p>
      <w:pPr>
        <w:pStyle w:val="Normal"/>
        <w:numPr>
          <w:ilvl w:val="0"/>
          <w:numId w:val="1"/>
        </w:numPr>
        <w:jc w:val="left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  <w:t>A digitális építés támogatása a Horizon Europe és a digitális innovációs központokon keresztül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Calibri-Bold">
    <w:charset w:val="ee"/>
    <w:family w:val="roman"/>
    <w:pitch w:val="variable"/>
  </w:font>
  <w:font w:name="Calibri-BoldItalic">
    <w:charset w:val="ee"/>
    <w:family w:val="roman"/>
    <w:pitch w:val="variable"/>
  </w:font>
  <w:font w:name="Calibri"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hu-H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Arial"/>
      <w:color w:val="auto"/>
      <w:sz w:val="24"/>
      <w:szCs w:val="24"/>
      <w:lang w:val="hu-HU" w:eastAsia="zh-CN" w:bidi="hi-IN"/>
    </w:rPr>
  </w:style>
  <w:style w:type="character" w:styleId="Felsorolsjel">
    <w:name w:val="Felsorolásjel"/>
    <w:qFormat/>
    <w:rPr>
      <w:rFonts w:ascii="OpenSymbol" w:hAnsi="OpenSymbol" w:eastAsia="OpenSymbol" w:cs="OpenSymbol"/>
    </w:rPr>
  </w:style>
  <w:style w:type="character" w:styleId="Szmozsjelek">
    <w:name w:val="Számozásjelek"/>
    <w:qFormat/>
    <w:rPr/>
  </w:style>
  <w:style w:type="paragraph" w:styleId="Cmsor">
    <w:name w:val="Címsor"/>
    <w:basedOn w:val="Normal"/>
    <w:next w:val="Szvegtrzs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Szövegtörzs"/>
    <w:basedOn w:val="Normal"/>
    <w:pPr>
      <w:spacing w:lineRule="auto" w:line="288" w:before="0" w:after="140"/>
    </w:pPr>
    <w:rPr/>
  </w:style>
  <w:style w:type="paragraph" w:styleId="Lista">
    <w:name w:val="Lista"/>
    <w:basedOn w:val="Szvegtrzs"/>
    <w:pPr/>
    <w:rPr>
      <w:rFonts w:cs="Arial"/>
    </w:rPr>
  </w:style>
  <w:style w:type="paragraph" w:styleId="Felirat">
    <w:name w:val="Felirat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LibreOffice/5.1.1.3$Windows_x86 LibreOffice_project/89f508ef3ecebd2cfb8e1def0f0ba9a803b88a6d</Application>
  <Pages>2</Pages>
  <Words>359</Words>
  <Characters>2797</Characters>
  <CharactersWithSpaces>3096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2021-01-22T14:32:25Z</dcterms:created>
  <dc:creator/>
  <dc:description/>
  <dc:language>hu-HU</dc:language>
  <cp:lastModifiedBy/>
  <dcterms:modified xsi:type="dcterms:W3CDTF">2021-01-22T14:51:55Z</dcterms:modified>
  <cp:revision>3</cp:revision>
  <dc:subject/>
  <dc:title/>
</cp:coreProperties>
</file>