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8B4" w:rsidRPr="00A428B4" w:rsidRDefault="00A428B4" w:rsidP="00A428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 xml:space="preserve">Az európai uniós és NATO források 25 százalékát digitalizációra kellene fordítani </w:t>
      </w:r>
    </w:p>
    <w:p w:rsidR="00A428B4" w:rsidRPr="00A428B4" w:rsidRDefault="00A428B4" w:rsidP="00A428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hu-HU"/>
          <w14:ligatures w14:val="none"/>
        </w:rPr>
        <mc:AlternateContent>
          <mc:Choice Requires="wps">
            <w:drawing>
              <wp:inline distT="0" distB="0" distL="0" distR="0" wp14:anchorId="3539ED08" wp14:editId="3CC462C0">
                <wp:extent cx="304800" cy="304800"/>
                <wp:effectExtent l="0" t="0" r="0" b="0"/>
                <wp:docPr id="48889218" name="Téglalap 1" descr="Twitter">
                  <a:hlinkClick xmlns:a="http://schemas.openxmlformats.org/drawingml/2006/main" r:id="rId7" tgtFrame="&quot;_blank&quot;" tooltip="&quot;Twitter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2B1E53" id="Téglalap 1" o:spid="_x0000_s1026" alt="Twitter" href="https://twitter.com/intent/tweet?url=https://ivsz.hu/hirek/az-europai-unios-es-nato-forrasok-25-szazalekat-digitalizaciora-kellene-forditani/" target="&quot;_blank&quot;" title="&quot;Twitter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A428B4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hu-HU"/>
          <w14:ligatures w14:val="none"/>
        </w:rPr>
        <mc:AlternateContent>
          <mc:Choice Requires="wps">
            <w:drawing>
              <wp:inline distT="0" distB="0" distL="0" distR="0" wp14:anchorId="0A471D0F" wp14:editId="3F457800">
                <wp:extent cx="304800" cy="304800"/>
                <wp:effectExtent l="0" t="0" r="0" b="0"/>
                <wp:docPr id="1098263980" name="Téglalap 2" descr="Facebook">
                  <a:hlinkClick xmlns:a="http://schemas.openxmlformats.org/drawingml/2006/main" r:id="rId8" tgtFrame="&quot;_blank&quot;" tooltip="&quot;Faceboo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89440B" id="Téglalap 1" o:spid="_x0000_s1026" alt="Facebook" href="https://www.facebook.com/sharer.php?u=https://ivsz.hu/hirek/az-europai-unios-es-nato-forrasok-25-szazalekat-digitalizaciora-kellene-forditani/" target="&quot;_blank&quot;" title="&quot;Faceboo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A428B4">
        <w:rPr>
          <w:rFonts w:ascii="Times New Roman" w:eastAsia="Times New Roman" w:hAnsi="Times New Roman" w:cs="Times New Roman"/>
          <w:noProof/>
          <w:color w:val="0000FF"/>
          <w:kern w:val="0"/>
          <w:sz w:val="24"/>
          <w:szCs w:val="24"/>
          <w:lang w:eastAsia="hu-HU"/>
          <w14:ligatures w14:val="none"/>
        </w:rPr>
        <mc:AlternateContent>
          <mc:Choice Requires="wps">
            <w:drawing>
              <wp:inline distT="0" distB="0" distL="0" distR="0" wp14:anchorId="6532710F" wp14:editId="787EF7FF">
                <wp:extent cx="304800" cy="304800"/>
                <wp:effectExtent l="0" t="0" r="0" b="0"/>
                <wp:docPr id="516254839" name="Téglalap 3" descr="LinkedIn">
                  <a:hlinkClick xmlns:a="http://schemas.openxmlformats.org/drawingml/2006/main" r:id="rId9" tgtFrame="&quot;_blank&quot;" tooltip="&quot;LinkedIn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06E03C" id="Téglalap 1" o:spid="_x0000_s1026" alt="LinkedIn" href="https://www.linkedin.com/shareArticle?mini=1&amp;url=https://ivsz.hu/hirek/az-europai-unios-es-nato-forrasok-25-szazalekat-digitalizaciora-kellene-forditani/" target="&quot;_blank&quot;" title="&quot;LinkedIn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428B4" w:rsidRPr="00A428B4" w:rsidRDefault="00A428B4" w:rsidP="00A428B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2023.11.10 </w:t>
      </w:r>
    </w:p>
    <w:p w:rsidR="00A428B4" w:rsidRPr="00A428B4" w:rsidRDefault="00A428B4" w:rsidP="00A428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  <w:t>20 pontos javaslatcsomagot állított össze a DIGITALEUROPE az IVSZ közreműködésével</w:t>
      </w:r>
    </w:p>
    <w:p w:rsidR="00A428B4" w:rsidRPr="00A428B4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A vállalkozások jelentési, adminisztrációs kötelezettségeinek felére csökkentésére, </w:t>
      </w:r>
      <w:proofErr w:type="spellStart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big</w:t>
      </w:r>
      <w:proofErr w:type="spellEnd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data</w:t>
      </w:r>
      <w:proofErr w:type="spellEnd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, mesterséges intelligencia használatuk 75 százalékra növelésére, a lakosság digitális készségeinek fejlesztésére, és az elérhető uniós és NATO források 25 százalékának digitalizációra fordítására lenne többek között szükség a DIGITALEUROPE szerint ahhoz, hogy 2030-ra Európa egy digitális megoldások használatán alapuló lüktető és versenyképes gazdasággá, egy digitális erőművé váljon. A “Europe 2030: A </w:t>
      </w:r>
      <w:proofErr w:type="spellStart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digital</w:t>
      </w:r>
      <w:proofErr w:type="spellEnd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powerhouse</w:t>
      </w:r>
      <w:proofErr w:type="spellEnd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” című kiadványukban, amelyet többek között az IVSZ közreműködésével állítottak össze, kiemelték azt is, hogy egyelőre jelentős a kontinens elmaradása – a top 100 technológiai cég mindössze 10 százaléka európai, csupán a kkv-k 8 százaléka kereskedik az európai határokon kívül, az EU IKT-szektorának globális árbevétele pedig 10 százalékpontot esett az elmúlt évtizedben.</w:t>
      </w:r>
    </w:p>
    <w:p w:rsidR="00A428B4" w:rsidRPr="00A428B4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hyperlink r:id="rId10" w:history="1">
        <w:r w:rsidRPr="00A428B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 xml:space="preserve">2023-as Digital </w:t>
        </w:r>
        <w:proofErr w:type="spellStart"/>
        <w:r w:rsidRPr="00A428B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Decade</w:t>
        </w:r>
        <w:proofErr w:type="spellEnd"/>
        <w:r w:rsidRPr="00A428B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 xml:space="preserve"> 2030 riport</w:t>
        </w:r>
      </w:hyperlink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alapján Európa számos olyan területen lemaradásban van, amely fontos lenne ahhoz, hogy a kontinens ki tudja használni a digitalizáció hatékonyságnövelő potenciálját, és így egy versenyképesebb európai gazdaság alakulhasson ki. A társadalom digitális alapkészségeinek szintje, az új technológiák integráltsága és a vállalkozások digitális felkészültsége különösen távol van még a kitűzött céloktól. Míg az Európai Bizottság tervei szerint a felnőtt lakosság 80%-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ának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kellene digitális alapkészségekkel rendelkeznie 2030-ra, jelenleg még csak 68 százalék ez az arány, a vállalkozások tekintetében pedig 77 százalék az elérni kívánt 90 százalékhoz képest. Az új technológiák használata esetében pedig – ahol jelenleg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big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data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esetén 19 százalék, AI </w:t>
      </w:r>
      <w:r w:rsid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/mesterséges intelligencia/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kapcsán 11 százalék,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cloud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tekintetében pedig 45 százalék az arány – szinte elérhetetlennek tűnik a célul tűzött 75 százalék.</w:t>
      </w:r>
    </w:p>
    <w:p w:rsidR="00A428B4" w:rsidRPr="00A428B4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DIGITALEUROPE, Európa vezető szakmai érdekképviseleti szövetsége azért is állított össze egy </w:t>
      </w:r>
      <w:hyperlink r:id="rId11" w:history="1">
        <w:r w:rsidRPr="00A428B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20 pontos javaslatcsomagot</w:t>
        </w:r>
      </w:hyperlink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az Európai Bizottság és a tagállamok kormányzatai felé, hogy támogassa, sőt felgyorsítsa a digitális átállás folyamatát, olykor ambiciózusabb célokat is kitűzve az európai gazdaság elé.</w:t>
      </w:r>
    </w:p>
    <w:p w:rsidR="00BA2378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</w:t>
      </w:r>
      <w:r w:rsid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gramStart"/>
      <w:r w:rsid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fő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témakör</w:t>
      </w:r>
      <w:r w:rsid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ök</w:t>
      </w:r>
      <w:proofErr w:type="gram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köré </w:t>
      </w:r>
    </w:p>
    <w:p w:rsidR="00BA2378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– versenyképesség; fenntarthatóság és egészség;</w:t>
      </w:r>
    </w:p>
    <w:p w:rsidR="00BA2378" w:rsidRDefault="00BA2378" w:rsidP="00BA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</w:t>
      </w:r>
      <w:r w:rsidR="00A428B4" w:rsidRP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ellenállóképesség</w:t>
      </w:r>
      <w:r w:rsidR="00A428B4" w:rsidRP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biztonság és innováció; </w:t>
      </w:r>
    </w:p>
    <w:p w:rsidR="00BA2378" w:rsidRDefault="00BA2378" w:rsidP="00BA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-</w:t>
      </w:r>
      <w:r w:rsidR="00A428B4" w:rsidRP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globális Európa; digitális európai társadalom </w:t>
      </w:r>
    </w:p>
    <w:p w:rsidR="00A428B4" w:rsidRPr="00BA2378" w:rsidRDefault="00A428B4" w:rsidP="00BA2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>épített javaslatokat a DIGITALEUROPE az európai digitális gazdaság meghatározó vállalataival és szervezeteivel, köztük az IVSZ-szel együtt dolgozta ki.</w:t>
      </w:r>
    </w:p>
    <w:p w:rsidR="00A428B4" w:rsidRPr="00A428B4" w:rsidRDefault="00A428B4" w:rsidP="00A428B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 xml:space="preserve">“Egy olyan Európát szeretnénk építeni ezekkel a javaslatokkal, ami versenyképes, fenntartható, </w:t>
      </w:r>
      <w:proofErr w:type="spellStart"/>
      <w:r w:rsidRPr="00A428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>reziliens</w:t>
      </w:r>
      <w:proofErr w:type="spellEnd"/>
      <w:r w:rsidRPr="00A428B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u-HU"/>
          <w14:ligatures w14:val="none"/>
        </w:rPr>
        <w:t xml:space="preserve"> és biztonságos. Egy Európát, amelyben a polgárok egészségben élnek, rendelkeznek a munkájuk ellátásához szükséges digitális készségekkel, és amely a világgazdaság többi szereplőjével összeköttetésben működik, és teszi mindezt digitális megoldásokra alapozva. Ez a vízió azonban csak együttműködéssel érhető el, ezért is álltunk be a DIGITALEUROPE mellé, és támogatjuk őket a célok elérésében a magyar digitális átállás felgyorsításáért végzett munkánkkal</w:t>
      </w:r>
      <w:r w:rsidRPr="00BA237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u-HU"/>
          <w14:ligatures w14:val="none"/>
        </w:rPr>
        <w:t>. Itthon különösen nagy figyelmet kell fordítanunk a digitális készségek, illetve a gazdaság gerincét adó kkv-k fejlesztésére, valamint az új technológiák gyors integrálására”</w:t>
      </w:r>
      <w:r w:rsidRPr="00BA2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– mondta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Tajthy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Krisztina, az IVSZ – Digitális Vállalkozások Szövetsége főtitkára.</w:t>
      </w:r>
    </w:p>
    <w:p w:rsidR="00A428B4" w:rsidRPr="00A428B4" w:rsidRDefault="00A428B4" w:rsidP="00A428B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u-HU"/>
          <w14:ligatures w14:val="none"/>
        </w:rPr>
        <w:t>A kiadványban megfogalmazott javaslatok</w:t>
      </w:r>
    </w:p>
    <w:p w:rsidR="00A428B4" w:rsidRPr="00BA2378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DIGITALEUROPE szerint a </w:t>
      </w:r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versenyképesség növeléséhez szükség van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többek között az egységes piac előtt álló korlátok lebontására, amellyel akár 713 milliárd eurós növekedést is el lehetne érni 2029-re. </w:t>
      </w:r>
      <w:r w:rsidRPr="00BA237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u-HU"/>
          <w14:ligatures w14:val="none"/>
        </w:rPr>
        <w:t>Ehhez mindenképp szükség van a jelenlegi jelentési kötelezettségek terheinek 50%-kal való csökkentésére, illetve arra is, hogy a kkv-kat ösztönözzük az európai határokon kívüli kereskedelemre, amelynek érdekében egy új kkv-stratégia létrehozását is javasolják a kiadvány készítői.</w:t>
      </w:r>
    </w:p>
    <w:p w:rsidR="00A428B4" w:rsidRPr="00A428B4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digitalizáció a fenntarthatósági törekvések és egy egészségesebb Európa elérésének motorja is 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lehet. Ehhez a DIGITALEUROPE javaslata alapján szükség van egy ún. “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twin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transition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”, zöld és digitális átállást egyaránt támogató alapra, amelyből olyan projektek valósulhatnak meg, melyek a digitális és zöld megoldások közötti szinergiákat kihasználják. Emellett elengedhetetlen az is, hogy az EU egészségügyi stratégiáját is újra</w:t>
      </w:r>
      <w:r w:rsidR="00BA237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gondolják a digitalizáció fókuszba helyezésével, amely az Európai Egészségügyi Adattérre alapozva az egészségügyi adatok hatékonyabb felhasználását is lehetővé tenné.</w:t>
      </w:r>
    </w:p>
    <w:p w:rsidR="00A428B4" w:rsidRPr="00A428B4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</w:t>
      </w:r>
      <w:proofErr w:type="spellStart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kiberbiztonság</w:t>
      </w:r>
      <w:proofErr w:type="spellEnd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egyre jelentősebb tényező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gazdasági és társadalmi szempontból is, épp ezért a korábbinál is kiemeltebb figyelmet kell fordítani erre a területre. A DIGITALEUROPE azt javasolja, hogy </w:t>
      </w:r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minden jogszabályt </w:t>
      </w:r>
      <w:proofErr w:type="spellStart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kiberbiztonsági</w:t>
      </w:r>
      <w:proofErr w:type="spellEnd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szempontok alapján is vizsgáljanak meg 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illetve mindenképp </w:t>
      </w:r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csökkentse az EU a jelenlegi munkaerőhiányt a </w:t>
      </w:r>
      <w:proofErr w:type="spellStart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kiberbiztonsági</w:t>
      </w:r>
      <w:proofErr w:type="spellEnd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szakmában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olyan kezdeményezések elindításával, mint a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Cyber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Skills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Academy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vagy a </w:t>
      </w:r>
      <w:proofErr w:type="spellStart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Cyber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Campus.</w:t>
      </w:r>
    </w:p>
    <w:p w:rsidR="00A428B4" w:rsidRPr="00A428B4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kitűzött célok eléréséhez szükség van arra, hogy </w:t>
      </w:r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Európa a jelenleginél jobban bekapcsolódjon a világkereskedelembe is,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melyet többek között a transzatlanti kapcsolatok erősítésével érhet el. A kontinensnek vezető szerepet kell betöltenie a globális standardok rendszerének kiépítésében, </w:t>
      </w:r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u-HU"/>
          <w14:ligatures w14:val="none"/>
        </w:rPr>
        <w:t>különös tekintettel az olyan új technológiákra, mint az AI,</w:t>
      </w:r>
      <w:r w:rsidR="00AC5083"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u-HU"/>
          <w14:ligatures w14:val="none"/>
        </w:rPr>
        <w:t xml:space="preserve"> mesterséges </w:t>
      </w:r>
      <w:proofErr w:type="gramStart"/>
      <w:r w:rsidR="00AC5083"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u-HU"/>
          <w14:ligatures w14:val="none"/>
        </w:rPr>
        <w:t>intelligencia</w:t>
      </w:r>
      <w:proofErr w:type="gramEnd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u-HU"/>
          <w14:ligatures w14:val="none"/>
        </w:rPr>
        <w:t xml:space="preserve"> amelynek felelős használata mindenki érdeke.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beszállítói láncok diverzifikálása szintén fontos feladat, amely az eddiginél ellenállóbbá teheti az európai gazdaságot.</w:t>
      </w:r>
    </w:p>
    <w:p w:rsidR="00A428B4" w:rsidRPr="00AC5083" w:rsidRDefault="00A428B4" w:rsidP="00A428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A digitális társadalom </w:t>
      </w:r>
      <w:proofErr w:type="spellStart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továbbépítése</w:t>
      </w:r>
      <w:proofErr w:type="spellEnd"/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, és így a digitális gazdaság növelése elképzelhetetlen az európai polgárok és </w:t>
      </w:r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u-HU"/>
          <w14:ligatures w14:val="none"/>
        </w:rPr>
        <w:t>a kkv-k digitális készségeinek fejlesztése</w:t>
      </w:r>
      <w:r w:rsidRPr="00A428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, vagy éppen a szélessávú internetelérés biztosítása nélkül.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Ezekhez a célokhoz tudna hozzájárulni többek között a DIGITALEUROPE szerint egy európai szintű, egységes oklevél, amely a 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 xml:space="preserve">munkavállalók által megszerzett készségeket, kompetenciákat tartalmazza </w:t>
      </w:r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(European </w:t>
      </w:r>
      <w:proofErr w:type="spellStart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Skills</w:t>
      </w:r>
      <w:proofErr w:type="spellEnd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Passport</w:t>
      </w:r>
      <w:proofErr w:type="spellEnd"/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). Emellett arra is szükség van, hogy </w:t>
      </w:r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a számítógéptudományok a 27 tagország közül ne csupán 14-ben legyenek a tanterv részei,</w:t>
      </w:r>
      <w:r w:rsidRPr="00A428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hanem EU-szerte mindenhol, illetve, hogy </w:t>
      </w:r>
      <w:r w:rsidRPr="00AC50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ne csak az iskolában, hanem Európa összes háztartása számára biztosított legyen a szélessávú internetlefedettség.</w:t>
      </w:r>
    </w:p>
    <w:p w:rsidR="00A428B4" w:rsidRPr="00A428B4" w:rsidRDefault="00A428B4" w:rsidP="00A428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</w:p>
    <w:sectPr w:rsidR="00A428B4" w:rsidRPr="00A428B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55A5" w:rsidRDefault="00CE55A5" w:rsidP="00BA2378">
      <w:pPr>
        <w:spacing w:after="0" w:line="240" w:lineRule="auto"/>
      </w:pPr>
      <w:r>
        <w:separator/>
      </w:r>
    </w:p>
  </w:endnote>
  <w:endnote w:type="continuationSeparator" w:id="0">
    <w:p w:rsidR="00CE55A5" w:rsidRDefault="00CE55A5" w:rsidP="00BA2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8409954"/>
      <w:docPartObj>
        <w:docPartGallery w:val="Page Numbers (Bottom of Page)"/>
        <w:docPartUnique/>
      </w:docPartObj>
    </w:sdtPr>
    <w:sdtContent>
      <w:p w:rsidR="00BA2378" w:rsidRDefault="00BA237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A2378" w:rsidRDefault="00BA237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55A5" w:rsidRDefault="00CE55A5" w:rsidP="00BA2378">
      <w:pPr>
        <w:spacing w:after="0" w:line="240" w:lineRule="auto"/>
      </w:pPr>
      <w:r>
        <w:separator/>
      </w:r>
    </w:p>
  </w:footnote>
  <w:footnote w:type="continuationSeparator" w:id="0">
    <w:p w:rsidR="00CE55A5" w:rsidRDefault="00CE55A5" w:rsidP="00BA2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6780A"/>
    <w:multiLevelType w:val="hybridMultilevel"/>
    <w:tmpl w:val="75FCA514"/>
    <w:lvl w:ilvl="0" w:tplc="27AC7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B4"/>
    <w:rsid w:val="002C27FA"/>
    <w:rsid w:val="005D167D"/>
    <w:rsid w:val="0085614C"/>
    <w:rsid w:val="00A428B4"/>
    <w:rsid w:val="00AC5083"/>
    <w:rsid w:val="00BA2378"/>
    <w:rsid w:val="00C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DFB4"/>
  <w15:chartTrackingRefBased/>
  <w15:docId w15:val="{5BBA79E4-77D3-4C46-8BEE-CDC30BD3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7F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7F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A2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2378"/>
  </w:style>
  <w:style w:type="paragraph" w:styleId="llb">
    <w:name w:val="footer"/>
    <w:basedOn w:val="Norml"/>
    <w:link w:val="llbChar"/>
    <w:uiPriority w:val="99"/>
    <w:unhideWhenUsed/>
    <w:rsid w:val="00BA2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2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6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1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238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9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66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6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86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0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82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8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r.php?u=https://ivsz.hu/hirek/az-europai-unios-es-nato-forrasok-25-szazalekat-digitalizaciora-kellene-forditan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intent/tweet?url=https://ivsz.hu/hirek/az-europai-unios-es-nato-forrasok-25-szazalekat-digitalizaciora-kellene-forditani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vsz.hu/hirek/20-pontos-javaslatcsomagot-keszitett-a-digitaleurope-europa-digitalis-felemelkedesehez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vsz.hu/hirek/digital-decade-2030-riport-uj-tipusu-unios-digitalis-jelent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shareArticle?mini=1&amp;url=https://ivsz.hu/hirek/az-europai-unios-es-nato-forrasok-25-szazalekat-digitalizaciora-kellene-forditan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823</Words>
  <Characters>5680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Solti Gábor</dc:creator>
  <cp:keywords/>
  <dc:description/>
  <cp:lastModifiedBy>Solti Gábor</cp:lastModifiedBy>
  <cp:revision>5</cp:revision>
  <dcterms:created xsi:type="dcterms:W3CDTF">2023-11-10T12:49:00Z</dcterms:created>
  <dcterms:modified xsi:type="dcterms:W3CDTF">2023-11-10T14:16:00Z</dcterms:modified>
</cp:coreProperties>
</file>